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3AAB" w14:textId="6673EAE7" w:rsidR="001F2816" w:rsidRPr="005C3382" w:rsidRDefault="00FF52B9" w:rsidP="00C71356">
      <w:pPr>
        <w:pStyle w:val="Heading1"/>
      </w:pPr>
      <w:r>
        <w:t>Parent Payment</w:t>
      </w:r>
      <w:r w:rsidR="003708F1">
        <w:t xml:space="preserve"> Policy</w:t>
      </w:r>
      <w:r w:rsidR="00600580">
        <w:t xml:space="preserve"> - DRAFT</w:t>
      </w:r>
      <w:bookmarkStart w:id="0" w:name="_GoBack"/>
      <w:bookmarkEnd w:id="0"/>
    </w:p>
    <w:p w14:paraId="64C8855D" w14:textId="0FA6EC94" w:rsidR="001F2816" w:rsidRDefault="001F2816" w:rsidP="001F2816">
      <w:pPr>
        <w:ind w:left="2520" w:hanging="2520"/>
        <w:rPr>
          <w:rFonts w:ascii="Century Gothic" w:hAnsi="Century Gothic"/>
          <w:color w:val="7F7F7F" w:themeColor="text1" w:themeTint="80"/>
          <w:sz w:val="18"/>
          <w:szCs w:val="18"/>
        </w:rPr>
      </w:pPr>
      <w:r>
        <w:rPr>
          <w:rFonts w:ascii="Century Gothic" w:hAnsi="Century Gothic"/>
          <w:color w:val="7F7F7F" w:themeColor="text1" w:themeTint="80"/>
          <w:sz w:val="18"/>
          <w:szCs w:val="18"/>
        </w:rPr>
        <w:t>Adopted by School Council</w:t>
      </w:r>
      <w:r w:rsidR="00854E2F">
        <w:rPr>
          <w:rFonts w:ascii="Century Gothic" w:hAnsi="Century Gothic"/>
          <w:color w:val="7F7F7F" w:themeColor="text1" w:themeTint="80"/>
          <w:sz w:val="18"/>
          <w:szCs w:val="18"/>
        </w:rPr>
        <w:t xml:space="preserve">: </w:t>
      </w:r>
      <w:r w:rsidR="00FF52B9">
        <w:rPr>
          <w:rFonts w:ascii="Century Gothic" w:hAnsi="Century Gothic"/>
          <w:color w:val="7F7F7F" w:themeColor="text1" w:themeTint="80"/>
          <w:sz w:val="18"/>
          <w:szCs w:val="18"/>
        </w:rPr>
        <w:t>28</w:t>
      </w:r>
      <w:r w:rsidR="00FF52B9" w:rsidRPr="00FF52B9">
        <w:rPr>
          <w:rFonts w:ascii="Century Gothic" w:hAnsi="Century Gothic"/>
          <w:color w:val="7F7F7F" w:themeColor="text1" w:themeTint="80"/>
          <w:sz w:val="18"/>
          <w:szCs w:val="18"/>
          <w:vertAlign w:val="superscript"/>
        </w:rPr>
        <w:t>th</w:t>
      </w:r>
      <w:r w:rsidR="00FF52B9">
        <w:rPr>
          <w:rFonts w:ascii="Century Gothic" w:hAnsi="Century Gothic"/>
          <w:color w:val="7F7F7F" w:themeColor="text1" w:themeTint="80"/>
          <w:sz w:val="18"/>
          <w:szCs w:val="18"/>
        </w:rPr>
        <w:t xml:space="preserve"> June</w:t>
      </w:r>
      <w:r w:rsidR="00854E2F">
        <w:rPr>
          <w:rFonts w:ascii="Century Gothic" w:hAnsi="Century Gothic"/>
          <w:color w:val="7F7F7F" w:themeColor="text1" w:themeTint="80"/>
          <w:sz w:val="18"/>
          <w:szCs w:val="18"/>
        </w:rPr>
        <w:t xml:space="preserve"> 2018</w:t>
      </w:r>
    </w:p>
    <w:p w14:paraId="6D92717F" w14:textId="2BDB965A" w:rsidR="00854E2F" w:rsidRPr="00FB00B4" w:rsidRDefault="00854E2F" w:rsidP="001F2816">
      <w:pPr>
        <w:ind w:left="2520" w:hanging="2520"/>
        <w:rPr>
          <w:rFonts w:ascii="Century Gothic" w:hAnsi="Century Gothic"/>
          <w:color w:val="FF0000"/>
          <w:sz w:val="18"/>
          <w:szCs w:val="18"/>
        </w:rPr>
      </w:pPr>
      <w:r>
        <w:rPr>
          <w:rFonts w:ascii="Century Gothic" w:hAnsi="Century Gothic"/>
          <w:color w:val="7F7F7F" w:themeColor="text1" w:themeTint="80"/>
          <w:sz w:val="18"/>
          <w:szCs w:val="18"/>
        </w:rPr>
        <w:t>Next review: June 2020</w:t>
      </w:r>
    </w:p>
    <w:p w14:paraId="30110141" w14:textId="77777777" w:rsidR="00874588" w:rsidRDefault="00874588" w:rsidP="00874588">
      <w:pPr>
        <w:jc w:val="both"/>
        <w:rPr>
          <w:rFonts w:ascii="Malgun Gothic" w:eastAsia="Malgun Gothic" w:hAnsi="Malgun Gothic" w:cs="Times New Roman"/>
          <w:color w:val="1E1E1E"/>
          <w:sz w:val="20"/>
          <w:szCs w:val="20"/>
        </w:rPr>
      </w:pPr>
    </w:p>
    <w:p w14:paraId="387D12C8" w14:textId="77777777" w:rsidR="00874588" w:rsidRPr="006B6C54" w:rsidRDefault="00874588" w:rsidP="00874588">
      <w:pPr>
        <w:jc w:val="both"/>
        <w:outlineLvl w:val="1"/>
        <w:rPr>
          <w:rFonts w:ascii="Malgun Gothic" w:eastAsia="Malgun Gothic" w:hAnsi="Malgun Gothic" w:cstheme="majorBidi"/>
          <w:b/>
          <w:caps/>
          <w:color w:val="4472C4" w:themeColor="accent1"/>
          <w:sz w:val="20"/>
          <w:szCs w:val="20"/>
        </w:rPr>
      </w:pPr>
      <w:r w:rsidRPr="006B6C54">
        <w:rPr>
          <w:rFonts w:ascii="Malgun Gothic" w:eastAsia="Malgun Gothic" w:hAnsi="Malgun Gothic" w:cstheme="majorBidi"/>
          <w:b/>
          <w:caps/>
          <w:color w:val="4472C4" w:themeColor="accent1"/>
          <w:sz w:val="20"/>
          <w:szCs w:val="20"/>
        </w:rPr>
        <w:t>Purpose</w:t>
      </w:r>
    </w:p>
    <w:p w14:paraId="31464D70" w14:textId="4AA809C9" w:rsidR="00874588" w:rsidRPr="006B6C54" w:rsidRDefault="00C50E9D" w:rsidP="00C50E9D">
      <w:pPr>
        <w:spacing w:after="120"/>
        <w:jc w:val="both"/>
        <w:rPr>
          <w:rFonts w:ascii="Malgun Gothic" w:eastAsia="Malgun Gothic" w:hAnsi="Malgun Gothic"/>
          <w:sz w:val="20"/>
          <w:szCs w:val="20"/>
        </w:rPr>
      </w:pPr>
      <w:r w:rsidRPr="006B6C54">
        <w:rPr>
          <w:rFonts w:ascii="Malgun Gothic" w:eastAsia="Malgun Gothic" w:hAnsi="Malgun Gothic"/>
          <w:sz w:val="20"/>
          <w:szCs w:val="20"/>
        </w:rPr>
        <w:t xml:space="preserve">The purpose of this policy is to set out </w:t>
      </w:r>
      <w:r w:rsidR="006B6C54" w:rsidRPr="006B6C54">
        <w:rPr>
          <w:rFonts w:ascii="Malgun Gothic" w:eastAsia="Malgun Gothic" w:hAnsi="Malgun Gothic"/>
          <w:sz w:val="20"/>
          <w:szCs w:val="20"/>
        </w:rPr>
        <w:t xml:space="preserve">how the school will manage parent payments in accordance </w:t>
      </w:r>
      <w:r w:rsidRPr="006B6C54">
        <w:rPr>
          <w:rFonts w:ascii="Malgun Gothic" w:eastAsia="Malgun Gothic" w:hAnsi="Malgun Gothic"/>
          <w:sz w:val="20"/>
          <w:szCs w:val="20"/>
        </w:rPr>
        <w:t>with applicable Department of Education and Training policy and law.</w:t>
      </w:r>
    </w:p>
    <w:p w14:paraId="71157FCD" w14:textId="77777777" w:rsidR="00874588" w:rsidRPr="006B6C54" w:rsidRDefault="00874588" w:rsidP="00874588">
      <w:pPr>
        <w:jc w:val="both"/>
        <w:outlineLvl w:val="1"/>
        <w:rPr>
          <w:rFonts w:ascii="Malgun Gothic" w:eastAsia="Malgun Gothic" w:hAnsi="Malgun Gothic" w:cstheme="majorBidi"/>
          <w:b/>
          <w:caps/>
          <w:color w:val="4472C4" w:themeColor="accent1"/>
          <w:sz w:val="20"/>
          <w:szCs w:val="20"/>
        </w:rPr>
      </w:pPr>
      <w:r w:rsidRPr="006B6C54">
        <w:rPr>
          <w:rFonts w:ascii="Malgun Gothic" w:eastAsia="Malgun Gothic" w:hAnsi="Malgun Gothic" w:cstheme="majorBidi"/>
          <w:b/>
          <w:caps/>
          <w:color w:val="4472C4" w:themeColor="accent1"/>
          <w:sz w:val="20"/>
          <w:szCs w:val="20"/>
        </w:rPr>
        <w:t>Scope</w:t>
      </w:r>
    </w:p>
    <w:p w14:paraId="59E52FBA" w14:textId="3CC56B43" w:rsidR="00177E80" w:rsidRPr="006B6C54" w:rsidRDefault="00177E80" w:rsidP="006B6C54">
      <w:pPr>
        <w:spacing w:after="120"/>
        <w:jc w:val="both"/>
        <w:rPr>
          <w:rFonts w:ascii="Malgun Gothic" w:eastAsia="Malgun Gothic" w:hAnsi="Malgun Gothic" w:cstheme="majorBidi"/>
          <w:b/>
          <w:caps/>
          <w:color w:val="4472C4" w:themeColor="accent1"/>
          <w:sz w:val="20"/>
          <w:szCs w:val="20"/>
        </w:rPr>
      </w:pPr>
      <w:r w:rsidRPr="006B6C54">
        <w:rPr>
          <w:rFonts w:ascii="Malgun Gothic" w:eastAsia="Malgun Gothic" w:hAnsi="Malgun Gothic"/>
          <w:sz w:val="20"/>
          <w:szCs w:val="20"/>
          <w:lang w:eastAsia="en-AU"/>
        </w:rPr>
        <w:t xml:space="preserve">This </w:t>
      </w:r>
      <w:r w:rsidRPr="006B6C54">
        <w:rPr>
          <w:rFonts w:ascii="Malgun Gothic" w:eastAsia="Malgun Gothic" w:hAnsi="Malgun Gothic"/>
          <w:sz w:val="20"/>
          <w:szCs w:val="20"/>
        </w:rPr>
        <w:t>policy</w:t>
      </w:r>
      <w:r w:rsidRPr="006B6C54">
        <w:rPr>
          <w:rFonts w:ascii="Malgun Gothic" w:eastAsia="Malgun Gothic" w:hAnsi="Malgun Gothic"/>
          <w:sz w:val="20"/>
          <w:szCs w:val="20"/>
          <w:lang w:eastAsia="en-AU"/>
        </w:rPr>
        <w:t xml:space="preserve"> applies to</w:t>
      </w:r>
      <w:r w:rsidR="006B6C54" w:rsidRPr="006B6C54">
        <w:rPr>
          <w:rFonts w:ascii="Malgun Gothic" w:eastAsia="Malgun Gothic" w:hAnsi="Malgun Gothic"/>
          <w:sz w:val="20"/>
          <w:szCs w:val="20"/>
          <w:lang w:eastAsia="en-AU"/>
        </w:rPr>
        <w:t xml:space="preserve"> </w:t>
      </w:r>
      <w:r w:rsidR="008B71FA">
        <w:rPr>
          <w:rFonts w:ascii="Malgun Gothic" w:eastAsia="Malgun Gothic" w:hAnsi="Malgun Gothic"/>
          <w:sz w:val="20"/>
          <w:szCs w:val="20"/>
          <w:lang w:eastAsia="en-AU"/>
        </w:rPr>
        <w:t xml:space="preserve">all </w:t>
      </w:r>
      <w:r w:rsidR="006B6C54" w:rsidRPr="006B6C54">
        <w:rPr>
          <w:rFonts w:ascii="Malgun Gothic" w:eastAsia="Malgun Gothic" w:hAnsi="Malgun Gothic"/>
          <w:sz w:val="20"/>
          <w:szCs w:val="20"/>
          <w:lang w:eastAsia="en-AU"/>
        </w:rPr>
        <w:t>parents who have children at Tarnagulla Primary School</w:t>
      </w:r>
      <w:r w:rsidR="008B71FA">
        <w:rPr>
          <w:rFonts w:ascii="Malgun Gothic" w:eastAsia="Malgun Gothic" w:hAnsi="Malgun Gothic"/>
          <w:sz w:val="20"/>
          <w:szCs w:val="20"/>
          <w:lang w:eastAsia="en-AU"/>
        </w:rPr>
        <w:t>.</w:t>
      </w:r>
    </w:p>
    <w:p w14:paraId="72F054E2" w14:textId="77777777" w:rsidR="006B6C54" w:rsidRPr="006B6C54" w:rsidRDefault="00874588" w:rsidP="006B6C54">
      <w:pPr>
        <w:jc w:val="both"/>
        <w:outlineLvl w:val="1"/>
        <w:rPr>
          <w:rFonts w:ascii="Malgun Gothic" w:eastAsia="Malgun Gothic" w:hAnsi="Malgun Gothic" w:cstheme="majorBidi"/>
          <w:b/>
          <w:caps/>
          <w:color w:val="4472C4" w:themeColor="accent1"/>
          <w:sz w:val="20"/>
          <w:szCs w:val="20"/>
        </w:rPr>
      </w:pPr>
      <w:r w:rsidRPr="006B6C54">
        <w:rPr>
          <w:rFonts w:ascii="Malgun Gothic" w:eastAsia="Malgun Gothic" w:hAnsi="Malgun Gothic" w:cstheme="majorBidi"/>
          <w:b/>
          <w:caps/>
          <w:color w:val="4472C4" w:themeColor="accent1"/>
          <w:sz w:val="20"/>
          <w:szCs w:val="20"/>
        </w:rPr>
        <w:t>Policy</w:t>
      </w:r>
    </w:p>
    <w:p w14:paraId="135F8C04" w14:textId="08F557BE" w:rsidR="00FF52B9" w:rsidRPr="006B6C54" w:rsidRDefault="00FF52B9" w:rsidP="006B6C54">
      <w:pPr>
        <w:jc w:val="both"/>
        <w:outlineLvl w:val="1"/>
        <w:rPr>
          <w:rFonts w:ascii="Malgun Gothic" w:eastAsia="Malgun Gothic" w:hAnsi="Malgun Gothic"/>
          <w:b/>
          <w:color w:val="000000" w:themeColor="text1"/>
          <w:sz w:val="20"/>
          <w:szCs w:val="20"/>
          <w:lang w:eastAsia="en-AU"/>
        </w:rPr>
      </w:pPr>
      <w:r w:rsidRPr="006B6C54">
        <w:rPr>
          <w:rFonts w:ascii="Malgun Gothic" w:eastAsia="Malgun Gothic" w:hAnsi="Malgun Gothic"/>
          <w:b/>
          <w:color w:val="000000" w:themeColor="text1"/>
          <w:sz w:val="20"/>
          <w:szCs w:val="20"/>
          <w:lang w:eastAsia="en-AU"/>
        </w:rPr>
        <w:t>Parent Payment Charges</w:t>
      </w:r>
    </w:p>
    <w:p w14:paraId="0726BD3C" w14:textId="34906621" w:rsidR="004C5895" w:rsidRDefault="008B71FA" w:rsidP="006B6C54">
      <w:pPr>
        <w:spacing w:after="120"/>
        <w:jc w:val="both"/>
        <w:rPr>
          <w:rFonts w:ascii="Malgun Gothic" w:eastAsia="Malgun Gothic" w:hAnsi="Malgun Gothic"/>
          <w:sz w:val="20"/>
          <w:szCs w:val="20"/>
        </w:rPr>
      </w:pPr>
      <w:r>
        <w:rPr>
          <w:rFonts w:ascii="Malgun Gothic" w:eastAsia="Malgun Gothic" w:hAnsi="Malgun Gothic"/>
          <w:sz w:val="20"/>
          <w:szCs w:val="20"/>
        </w:rPr>
        <w:t>The school council approves the student fees for the following year at its November meeting. These fees apply in lieu of a student booklist</w:t>
      </w:r>
      <w:r w:rsidR="004C5895">
        <w:rPr>
          <w:rFonts w:ascii="Malgun Gothic" w:eastAsia="Malgun Gothic" w:hAnsi="Malgun Gothic"/>
          <w:sz w:val="20"/>
          <w:szCs w:val="20"/>
        </w:rPr>
        <w:t xml:space="preserve">. This charge is in the </w:t>
      </w:r>
      <w:r w:rsidR="004C5895" w:rsidRPr="00392B77">
        <w:rPr>
          <w:rFonts w:ascii="Malgun Gothic" w:eastAsia="Malgun Gothic" w:hAnsi="Malgun Gothic"/>
          <w:i/>
          <w:sz w:val="20"/>
          <w:szCs w:val="20"/>
        </w:rPr>
        <w:t>Essential Student Learning Items</w:t>
      </w:r>
      <w:r w:rsidR="004C5895">
        <w:rPr>
          <w:rFonts w:ascii="Malgun Gothic" w:eastAsia="Malgun Gothic" w:hAnsi="Malgun Gothic"/>
          <w:sz w:val="20"/>
          <w:szCs w:val="20"/>
        </w:rPr>
        <w:t xml:space="preserve"> category.</w:t>
      </w:r>
    </w:p>
    <w:p w14:paraId="7193BE50" w14:textId="041AEFE8" w:rsidR="006B6C54" w:rsidRPr="006B6C54" w:rsidRDefault="006B6C54" w:rsidP="006B6C54">
      <w:pPr>
        <w:spacing w:after="120"/>
        <w:jc w:val="both"/>
        <w:rPr>
          <w:rFonts w:ascii="Malgun Gothic" w:eastAsia="Malgun Gothic" w:hAnsi="Malgun Gothic"/>
          <w:sz w:val="20"/>
          <w:szCs w:val="20"/>
        </w:rPr>
      </w:pPr>
      <w:r>
        <w:rPr>
          <w:rFonts w:ascii="Malgun Gothic" w:eastAsia="Malgun Gothic" w:hAnsi="Malgun Gothic"/>
          <w:sz w:val="20"/>
          <w:szCs w:val="20"/>
        </w:rPr>
        <w:t>For 2018, the per-student fee</w:t>
      </w:r>
      <w:r w:rsidR="004C5895">
        <w:rPr>
          <w:rFonts w:ascii="Malgun Gothic" w:eastAsia="Malgun Gothic" w:hAnsi="Malgun Gothic"/>
          <w:sz w:val="20"/>
          <w:szCs w:val="20"/>
        </w:rPr>
        <w:t xml:space="preserve"> was determined to be $120.</w:t>
      </w:r>
    </w:p>
    <w:p w14:paraId="4733CE64" w14:textId="22AAC66C" w:rsidR="006B6C54" w:rsidRDefault="004C5895" w:rsidP="008F1D37">
      <w:pPr>
        <w:jc w:val="both"/>
        <w:rPr>
          <w:rFonts w:ascii="Malgun Gothic" w:eastAsia="Malgun Gothic" w:hAnsi="Malgun Gothic"/>
          <w:sz w:val="20"/>
          <w:szCs w:val="20"/>
        </w:rPr>
      </w:pPr>
      <w:r>
        <w:rPr>
          <w:rFonts w:ascii="Malgun Gothic" w:eastAsia="Malgun Gothic" w:hAnsi="Malgun Gothic"/>
          <w:sz w:val="20"/>
          <w:szCs w:val="20"/>
        </w:rPr>
        <w:t xml:space="preserve">The </w:t>
      </w:r>
      <w:r w:rsidR="00392B77">
        <w:rPr>
          <w:rFonts w:ascii="Malgun Gothic" w:eastAsia="Malgun Gothic" w:hAnsi="Malgun Gothic"/>
          <w:sz w:val="20"/>
          <w:szCs w:val="20"/>
        </w:rPr>
        <w:t xml:space="preserve">full costings are tabled at council and available from the general office, however, the </w:t>
      </w:r>
      <w:r>
        <w:rPr>
          <w:rFonts w:ascii="Malgun Gothic" w:eastAsia="Malgun Gothic" w:hAnsi="Malgun Gothic"/>
          <w:sz w:val="20"/>
          <w:szCs w:val="20"/>
        </w:rPr>
        <w:t>main items that students receive include:</w:t>
      </w:r>
    </w:p>
    <w:p w14:paraId="18725C85" w14:textId="3E202225" w:rsidR="004C5895" w:rsidRDefault="004C5895" w:rsidP="004C5895">
      <w:pPr>
        <w:pStyle w:val="ListParagraph"/>
        <w:numPr>
          <w:ilvl w:val="0"/>
          <w:numId w:val="38"/>
        </w:numPr>
        <w:spacing w:after="120"/>
        <w:jc w:val="both"/>
        <w:rPr>
          <w:rFonts w:ascii="Malgun Gothic" w:eastAsia="Malgun Gothic" w:hAnsi="Malgun Gothic"/>
          <w:sz w:val="20"/>
          <w:szCs w:val="20"/>
        </w:rPr>
      </w:pPr>
      <w:r>
        <w:rPr>
          <w:rFonts w:ascii="Malgun Gothic" w:eastAsia="Malgun Gothic" w:hAnsi="Malgun Gothic"/>
          <w:sz w:val="20"/>
          <w:szCs w:val="20"/>
        </w:rPr>
        <w:t>Stationery (pens/pencils, coloured pencils, erasers, sharpeners, highlighters, pencil case, ruler, scissors</w:t>
      </w:r>
      <w:r w:rsidR="00480EF7">
        <w:rPr>
          <w:rFonts w:ascii="Malgun Gothic" w:eastAsia="Malgun Gothic" w:hAnsi="Malgun Gothic"/>
          <w:sz w:val="20"/>
          <w:szCs w:val="20"/>
        </w:rPr>
        <w:t>, calculator (4-6)</w:t>
      </w:r>
      <w:r>
        <w:rPr>
          <w:rFonts w:ascii="Malgun Gothic" w:eastAsia="Malgun Gothic" w:hAnsi="Malgun Gothic"/>
          <w:sz w:val="20"/>
          <w:szCs w:val="20"/>
        </w:rPr>
        <w:t xml:space="preserve"> etc.)</w:t>
      </w:r>
    </w:p>
    <w:p w14:paraId="77FE24F7" w14:textId="01D7DAC0" w:rsidR="004C5895" w:rsidRDefault="004C5895" w:rsidP="004C5895">
      <w:pPr>
        <w:pStyle w:val="ListParagraph"/>
        <w:numPr>
          <w:ilvl w:val="0"/>
          <w:numId w:val="38"/>
        </w:numPr>
        <w:spacing w:after="120"/>
        <w:jc w:val="both"/>
        <w:rPr>
          <w:rFonts w:ascii="Malgun Gothic" w:eastAsia="Malgun Gothic" w:hAnsi="Malgun Gothic"/>
          <w:sz w:val="20"/>
          <w:szCs w:val="20"/>
        </w:rPr>
      </w:pPr>
      <w:r>
        <w:rPr>
          <w:rFonts w:ascii="Malgun Gothic" w:eastAsia="Malgun Gothic" w:hAnsi="Malgun Gothic"/>
          <w:sz w:val="20"/>
          <w:szCs w:val="20"/>
        </w:rPr>
        <w:t>Text books (For example: Maths text book and English text book)</w:t>
      </w:r>
    </w:p>
    <w:p w14:paraId="2B93E090" w14:textId="631AC96E" w:rsidR="004C5895" w:rsidRDefault="004C5895" w:rsidP="004C5895">
      <w:pPr>
        <w:pStyle w:val="ListParagraph"/>
        <w:numPr>
          <w:ilvl w:val="0"/>
          <w:numId w:val="38"/>
        </w:numPr>
        <w:spacing w:after="120"/>
        <w:jc w:val="both"/>
        <w:rPr>
          <w:rFonts w:ascii="Malgun Gothic" w:eastAsia="Malgun Gothic" w:hAnsi="Malgun Gothic"/>
          <w:sz w:val="20"/>
          <w:szCs w:val="20"/>
        </w:rPr>
      </w:pPr>
      <w:r>
        <w:rPr>
          <w:rFonts w:ascii="Malgun Gothic" w:eastAsia="Malgun Gothic" w:hAnsi="Malgun Gothic"/>
          <w:sz w:val="20"/>
          <w:szCs w:val="20"/>
        </w:rPr>
        <w:t>Exercise books for each subject</w:t>
      </w:r>
    </w:p>
    <w:p w14:paraId="71CAAD4C" w14:textId="07671DDF" w:rsidR="00480EF7" w:rsidRDefault="00480EF7" w:rsidP="004C5895">
      <w:pPr>
        <w:pStyle w:val="ListParagraph"/>
        <w:numPr>
          <w:ilvl w:val="0"/>
          <w:numId w:val="38"/>
        </w:numPr>
        <w:spacing w:after="120"/>
        <w:jc w:val="both"/>
        <w:rPr>
          <w:rFonts w:ascii="Malgun Gothic" w:eastAsia="Malgun Gothic" w:hAnsi="Malgun Gothic"/>
          <w:sz w:val="20"/>
          <w:szCs w:val="20"/>
        </w:rPr>
      </w:pPr>
      <w:r>
        <w:rPr>
          <w:rFonts w:ascii="Malgun Gothic" w:eastAsia="Malgun Gothic" w:hAnsi="Malgun Gothic"/>
          <w:sz w:val="20"/>
          <w:szCs w:val="20"/>
        </w:rPr>
        <w:t>Art materials for items taken home</w:t>
      </w:r>
    </w:p>
    <w:p w14:paraId="19F19ECC" w14:textId="6565C715" w:rsidR="00480EF7" w:rsidRPr="004C5895" w:rsidRDefault="00480EF7" w:rsidP="004C5895">
      <w:pPr>
        <w:pStyle w:val="ListParagraph"/>
        <w:numPr>
          <w:ilvl w:val="0"/>
          <w:numId w:val="38"/>
        </w:numPr>
        <w:spacing w:after="120"/>
        <w:jc w:val="both"/>
        <w:rPr>
          <w:rFonts w:ascii="Malgun Gothic" w:eastAsia="Malgun Gothic" w:hAnsi="Malgun Gothic"/>
          <w:sz w:val="20"/>
          <w:szCs w:val="20"/>
        </w:rPr>
      </w:pPr>
      <w:r>
        <w:rPr>
          <w:rFonts w:ascii="Malgun Gothic" w:eastAsia="Malgun Gothic" w:hAnsi="Malgun Gothic"/>
          <w:sz w:val="20"/>
          <w:szCs w:val="20"/>
        </w:rPr>
        <w:t>Subscriptions (MARC Van, Mathletics, Sound Waves, Typing Tournament etc.)</w:t>
      </w:r>
    </w:p>
    <w:p w14:paraId="6C7BDEBE" w14:textId="77777777" w:rsidR="00FF52B9" w:rsidRDefault="00FF52B9" w:rsidP="008F1D37">
      <w:pPr>
        <w:jc w:val="both"/>
        <w:outlineLvl w:val="1"/>
        <w:rPr>
          <w:rFonts w:ascii="Malgun Gothic" w:eastAsia="Malgun Gothic" w:hAnsi="Malgun Gothic"/>
          <w:b/>
          <w:color w:val="000000" w:themeColor="text1"/>
          <w:sz w:val="20"/>
          <w:szCs w:val="20"/>
          <w:lang w:eastAsia="en-AU"/>
        </w:rPr>
      </w:pPr>
      <w:r w:rsidRPr="008F1D37">
        <w:rPr>
          <w:rFonts w:ascii="Malgun Gothic" w:eastAsia="Malgun Gothic" w:hAnsi="Malgun Gothic"/>
          <w:b/>
          <w:color w:val="000000" w:themeColor="text1"/>
          <w:sz w:val="20"/>
          <w:szCs w:val="20"/>
          <w:lang w:eastAsia="en-AU"/>
        </w:rPr>
        <w:t xml:space="preserve">Payment arrangements and methods </w:t>
      </w:r>
    </w:p>
    <w:p w14:paraId="76B2737D" w14:textId="0FD10B92" w:rsidR="008F1D37" w:rsidRPr="008F1D37" w:rsidRDefault="008F1D37" w:rsidP="006B6AA0">
      <w:pPr>
        <w:spacing w:after="120"/>
        <w:jc w:val="both"/>
        <w:outlineLvl w:val="1"/>
        <w:rPr>
          <w:rFonts w:ascii="Malgun Gothic" w:eastAsia="Malgun Gothic" w:hAnsi="Malgun Gothic"/>
          <w:color w:val="000000" w:themeColor="text1"/>
          <w:sz w:val="20"/>
          <w:szCs w:val="20"/>
          <w:lang w:eastAsia="en-AU"/>
        </w:rPr>
      </w:pPr>
      <w:r>
        <w:rPr>
          <w:rFonts w:ascii="Malgun Gothic" w:eastAsia="Malgun Gothic" w:hAnsi="Malgun Gothic"/>
          <w:color w:val="000000" w:themeColor="text1"/>
          <w:sz w:val="20"/>
          <w:szCs w:val="20"/>
          <w:lang w:eastAsia="en-AU"/>
        </w:rPr>
        <w:t>The student fee can be paid by cheque or cash (no EFTPOS available at this time) at the main office and may be paid in a lum</w:t>
      </w:r>
      <w:r w:rsidR="00425BC7">
        <w:rPr>
          <w:rFonts w:ascii="Malgun Gothic" w:eastAsia="Malgun Gothic" w:hAnsi="Malgun Gothic"/>
          <w:color w:val="000000" w:themeColor="text1"/>
          <w:sz w:val="20"/>
          <w:szCs w:val="20"/>
          <w:lang w:eastAsia="en-AU"/>
        </w:rPr>
        <w:t>p</w:t>
      </w:r>
      <w:r>
        <w:rPr>
          <w:rFonts w:ascii="Malgun Gothic" w:eastAsia="Malgun Gothic" w:hAnsi="Malgun Gothic"/>
          <w:color w:val="000000" w:themeColor="text1"/>
          <w:sz w:val="20"/>
          <w:szCs w:val="20"/>
          <w:lang w:eastAsia="en-AU"/>
        </w:rPr>
        <w:t xml:space="preserve"> sum at the beginning of the year or in four equal </w:t>
      </w:r>
      <w:r w:rsidR="006B6AA0">
        <w:rPr>
          <w:rFonts w:ascii="Malgun Gothic" w:eastAsia="Malgun Gothic" w:hAnsi="Malgun Gothic"/>
          <w:color w:val="000000" w:themeColor="text1"/>
          <w:sz w:val="20"/>
          <w:szCs w:val="20"/>
          <w:lang w:eastAsia="en-AU"/>
        </w:rPr>
        <w:t>instalments – one per school term.</w:t>
      </w:r>
    </w:p>
    <w:p w14:paraId="5F5E529E" w14:textId="77777777" w:rsidR="00FF52B9" w:rsidRDefault="00FF52B9" w:rsidP="006B6AA0">
      <w:pPr>
        <w:jc w:val="both"/>
        <w:outlineLvl w:val="1"/>
        <w:rPr>
          <w:rFonts w:ascii="Malgun Gothic" w:eastAsia="Malgun Gothic" w:hAnsi="Malgun Gothic"/>
          <w:b/>
          <w:color w:val="000000" w:themeColor="text1"/>
          <w:sz w:val="20"/>
          <w:szCs w:val="20"/>
          <w:lang w:eastAsia="en-AU"/>
        </w:rPr>
      </w:pPr>
      <w:r w:rsidRPr="006B6AA0">
        <w:rPr>
          <w:rFonts w:ascii="Malgun Gothic" w:eastAsia="Malgun Gothic" w:hAnsi="Malgun Gothic"/>
          <w:b/>
          <w:color w:val="000000" w:themeColor="text1"/>
          <w:sz w:val="20"/>
          <w:szCs w:val="20"/>
          <w:lang w:eastAsia="en-AU"/>
        </w:rPr>
        <w:t>Family support options</w:t>
      </w:r>
    </w:p>
    <w:p w14:paraId="6F39A7D9" w14:textId="4B7136B1" w:rsidR="006B6AA0" w:rsidRDefault="006B6AA0" w:rsidP="00380B71">
      <w:pPr>
        <w:spacing w:after="120"/>
        <w:jc w:val="both"/>
        <w:outlineLvl w:val="1"/>
        <w:rPr>
          <w:rFonts w:ascii="Malgun Gothic" w:eastAsia="Malgun Gothic" w:hAnsi="Malgun Gothic"/>
          <w:color w:val="000000" w:themeColor="text1"/>
          <w:sz w:val="20"/>
          <w:szCs w:val="20"/>
          <w:lang w:eastAsia="en-AU"/>
        </w:rPr>
      </w:pPr>
      <w:r>
        <w:rPr>
          <w:rFonts w:ascii="Malgun Gothic" w:eastAsia="Malgun Gothic" w:hAnsi="Malgun Gothic"/>
          <w:color w:val="000000" w:themeColor="text1"/>
          <w:sz w:val="20"/>
          <w:szCs w:val="20"/>
          <w:lang w:eastAsia="en-AU"/>
        </w:rPr>
        <w:t xml:space="preserve">The school has new uniform items available from the general office and a limited number of second-hand items are also available. </w:t>
      </w:r>
      <w:r w:rsidR="00380B71">
        <w:rPr>
          <w:rFonts w:ascii="Malgun Gothic" w:eastAsia="Malgun Gothic" w:hAnsi="Malgun Gothic"/>
          <w:color w:val="000000" w:themeColor="text1"/>
          <w:sz w:val="20"/>
          <w:szCs w:val="20"/>
          <w:lang w:eastAsia="en-AU"/>
        </w:rPr>
        <w:t>(The school is pleased to receive donations of uniform items that are no longer required to contribute to the second-hand store.)</w:t>
      </w:r>
    </w:p>
    <w:p w14:paraId="18FEAC04" w14:textId="78B4D20D" w:rsidR="009D095F" w:rsidRDefault="006B6AA0" w:rsidP="009D095F">
      <w:pPr>
        <w:spacing w:after="120"/>
        <w:jc w:val="both"/>
        <w:outlineLvl w:val="1"/>
        <w:rPr>
          <w:rFonts w:ascii="Malgun Gothic" w:eastAsia="Malgun Gothic" w:hAnsi="Malgun Gothic"/>
          <w:color w:val="000000" w:themeColor="text1"/>
          <w:sz w:val="20"/>
          <w:szCs w:val="20"/>
          <w:lang w:eastAsia="en-AU"/>
        </w:rPr>
      </w:pPr>
      <w:r>
        <w:rPr>
          <w:rFonts w:ascii="Malgun Gothic" w:eastAsia="Malgun Gothic" w:hAnsi="Malgun Gothic"/>
          <w:color w:val="000000" w:themeColor="text1"/>
          <w:sz w:val="20"/>
          <w:szCs w:val="20"/>
          <w:lang w:eastAsia="en-AU"/>
        </w:rPr>
        <w:t xml:space="preserve">Eligible families are able to receive the government’s </w:t>
      </w:r>
      <w:r>
        <w:rPr>
          <w:rFonts w:ascii="Malgun Gothic" w:eastAsia="Malgun Gothic" w:hAnsi="Malgun Gothic"/>
          <w:i/>
          <w:color w:val="000000" w:themeColor="text1"/>
          <w:sz w:val="20"/>
          <w:szCs w:val="20"/>
          <w:lang w:eastAsia="en-AU"/>
        </w:rPr>
        <w:t>Camps, Sport and Excursion Fund</w:t>
      </w:r>
      <w:r>
        <w:rPr>
          <w:rFonts w:ascii="Malgun Gothic" w:eastAsia="Malgun Gothic" w:hAnsi="Malgun Gothic"/>
          <w:color w:val="000000" w:themeColor="text1"/>
          <w:sz w:val="20"/>
          <w:szCs w:val="20"/>
          <w:lang w:eastAsia="en-AU"/>
        </w:rPr>
        <w:t xml:space="preserve"> to assist</w:t>
      </w:r>
      <w:r w:rsidR="00380B71">
        <w:rPr>
          <w:rFonts w:ascii="Malgun Gothic" w:eastAsia="Malgun Gothic" w:hAnsi="Malgun Gothic"/>
          <w:color w:val="000000" w:themeColor="text1"/>
          <w:sz w:val="20"/>
          <w:szCs w:val="20"/>
          <w:lang w:eastAsia="en-AU"/>
        </w:rPr>
        <w:t xml:space="preserve"> with these particular expenses as they occur during each year.</w:t>
      </w:r>
    </w:p>
    <w:p w14:paraId="4D3BB650" w14:textId="38C847D8" w:rsidR="006B6AA0" w:rsidRPr="006B6AA0" w:rsidRDefault="00380B71" w:rsidP="009D095F">
      <w:pPr>
        <w:spacing w:after="120"/>
        <w:jc w:val="both"/>
        <w:outlineLvl w:val="1"/>
        <w:rPr>
          <w:rFonts w:ascii="Malgun Gothic" w:eastAsia="Malgun Gothic" w:hAnsi="Malgun Gothic"/>
          <w:color w:val="000000" w:themeColor="text1"/>
          <w:sz w:val="20"/>
          <w:szCs w:val="20"/>
          <w:lang w:eastAsia="en-AU"/>
        </w:rPr>
      </w:pPr>
      <w:r>
        <w:rPr>
          <w:rFonts w:ascii="Malgun Gothic" w:eastAsia="Malgun Gothic" w:hAnsi="Malgun Gothic"/>
          <w:color w:val="000000" w:themeColor="text1"/>
          <w:sz w:val="20"/>
          <w:szCs w:val="20"/>
          <w:lang w:eastAsia="en-AU"/>
        </w:rPr>
        <w:t xml:space="preserve">Families who are experiencing difficulties are able to access </w:t>
      </w:r>
      <w:r>
        <w:rPr>
          <w:rFonts w:ascii="Malgun Gothic" w:eastAsia="Malgun Gothic" w:hAnsi="Malgun Gothic"/>
          <w:i/>
          <w:color w:val="000000" w:themeColor="text1"/>
          <w:sz w:val="20"/>
          <w:szCs w:val="20"/>
          <w:lang w:eastAsia="en-AU"/>
        </w:rPr>
        <w:t xml:space="preserve">State Schools </w:t>
      </w:r>
      <w:r w:rsidRPr="00380B71">
        <w:rPr>
          <w:rFonts w:ascii="Malgun Gothic" w:eastAsia="Malgun Gothic" w:hAnsi="Malgun Gothic"/>
          <w:color w:val="000000" w:themeColor="text1"/>
          <w:sz w:val="20"/>
          <w:szCs w:val="20"/>
          <w:lang w:eastAsia="en-AU"/>
        </w:rPr>
        <w:t>Relief</w:t>
      </w:r>
      <w:r>
        <w:rPr>
          <w:rFonts w:ascii="Malgun Gothic" w:eastAsia="Malgun Gothic" w:hAnsi="Malgun Gothic"/>
          <w:color w:val="000000" w:themeColor="text1"/>
          <w:sz w:val="20"/>
          <w:szCs w:val="20"/>
          <w:lang w:eastAsia="en-AU"/>
        </w:rPr>
        <w:t xml:space="preserve"> who are able to provide uniform items. (Eligibility criteria includes but is not limited to situations like: health issues resulting in serious financial difficulties; unemployment; house fires; bereavement; family violence; illness; independent living/homelessness; natural disasters; serious financial difficulty.)</w:t>
      </w:r>
    </w:p>
    <w:p w14:paraId="74BA1EB7" w14:textId="77777777" w:rsidR="00FF52B9" w:rsidRDefault="00FF52B9" w:rsidP="009D095F">
      <w:pPr>
        <w:jc w:val="both"/>
        <w:outlineLvl w:val="1"/>
        <w:rPr>
          <w:rFonts w:ascii="Malgun Gothic" w:eastAsia="Malgun Gothic" w:hAnsi="Malgun Gothic"/>
          <w:b/>
          <w:color w:val="000000" w:themeColor="text1"/>
          <w:sz w:val="20"/>
          <w:szCs w:val="20"/>
          <w:lang w:eastAsia="en-AU"/>
        </w:rPr>
      </w:pPr>
      <w:r w:rsidRPr="009D095F">
        <w:rPr>
          <w:rFonts w:ascii="Malgun Gothic" w:eastAsia="Malgun Gothic" w:hAnsi="Malgun Gothic"/>
          <w:b/>
          <w:color w:val="000000" w:themeColor="text1"/>
          <w:sz w:val="20"/>
          <w:szCs w:val="20"/>
          <w:lang w:eastAsia="en-AU"/>
        </w:rPr>
        <w:lastRenderedPageBreak/>
        <w:t>Consideration of hardship</w:t>
      </w:r>
    </w:p>
    <w:p w14:paraId="262F4FD0" w14:textId="5E18A9DE" w:rsidR="00554E69" w:rsidRDefault="00554E69" w:rsidP="00554E69">
      <w:pPr>
        <w:spacing w:after="120"/>
        <w:jc w:val="both"/>
        <w:outlineLvl w:val="1"/>
        <w:rPr>
          <w:rFonts w:ascii="Malgun Gothic" w:eastAsia="Malgun Gothic" w:hAnsi="Malgun Gothic"/>
          <w:color w:val="000000" w:themeColor="text1"/>
          <w:sz w:val="20"/>
          <w:szCs w:val="20"/>
          <w:lang w:eastAsia="en-AU"/>
        </w:rPr>
      </w:pPr>
      <w:r>
        <w:rPr>
          <w:rFonts w:ascii="Malgun Gothic" w:eastAsia="Malgun Gothic" w:hAnsi="Malgun Gothic"/>
          <w:color w:val="000000" w:themeColor="text1"/>
          <w:sz w:val="20"/>
          <w:szCs w:val="20"/>
          <w:lang w:eastAsia="en-AU"/>
        </w:rPr>
        <w:t>The school wants to see its students in uniform, at school each day with the books and things they need to learn and attending all camps and excursions. If there is any reason that is preventing a student’s full engagement, families are encouraged to contact the principal for a confidential meeting where every effort will be made to assist or meet these needs. In certain circumstances, the principal may act proactively and approach families who may need support.</w:t>
      </w:r>
    </w:p>
    <w:p w14:paraId="5E21A7DE" w14:textId="41537A76" w:rsidR="00554E69" w:rsidRDefault="00554E69" w:rsidP="00554E69">
      <w:pPr>
        <w:spacing w:after="120"/>
        <w:jc w:val="both"/>
        <w:outlineLvl w:val="1"/>
        <w:rPr>
          <w:rFonts w:ascii="Malgun Gothic" w:eastAsia="Malgun Gothic" w:hAnsi="Malgun Gothic"/>
          <w:color w:val="000000" w:themeColor="text1"/>
          <w:sz w:val="20"/>
          <w:szCs w:val="20"/>
          <w:lang w:eastAsia="en-AU"/>
        </w:rPr>
      </w:pPr>
      <w:r>
        <w:rPr>
          <w:rFonts w:ascii="Malgun Gothic" w:eastAsia="Malgun Gothic" w:hAnsi="Malgun Gothic"/>
          <w:color w:val="000000" w:themeColor="text1"/>
          <w:sz w:val="20"/>
          <w:szCs w:val="20"/>
          <w:lang w:eastAsia="en-AU"/>
        </w:rPr>
        <w:t>When any payment is requested of parents, the communication will remind parents of the options available for support.</w:t>
      </w:r>
    </w:p>
    <w:p w14:paraId="2F5FED5B" w14:textId="77777777" w:rsidR="00FF52B9" w:rsidRDefault="00FF52B9" w:rsidP="00554E69">
      <w:pPr>
        <w:jc w:val="both"/>
        <w:outlineLvl w:val="1"/>
        <w:rPr>
          <w:rFonts w:ascii="Malgun Gothic" w:eastAsia="Malgun Gothic" w:hAnsi="Malgun Gothic"/>
          <w:b/>
          <w:color w:val="000000" w:themeColor="text1"/>
          <w:sz w:val="20"/>
          <w:szCs w:val="20"/>
          <w:lang w:eastAsia="en-AU"/>
        </w:rPr>
      </w:pPr>
      <w:r w:rsidRPr="00554E69">
        <w:rPr>
          <w:rFonts w:ascii="Malgun Gothic" w:eastAsia="Malgun Gothic" w:hAnsi="Malgun Gothic"/>
          <w:b/>
          <w:color w:val="000000" w:themeColor="text1"/>
          <w:sz w:val="20"/>
          <w:szCs w:val="20"/>
          <w:lang w:eastAsia="en-AU"/>
        </w:rPr>
        <w:t>Communication with families</w:t>
      </w:r>
    </w:p>
    <w:p w14:paraId="0038AF8F" w14:textId="26E49CFA" w:rsidR="0006065E" w:rsidRPr="0006065E" w:rsidRDefault="002539B3" w:rsidP="002539B3">
      <w:pPr>
        <w:spacing w:after="120"/>
        <w:jc w:val="both"/>
        <w:outlineLvl w:val="1"/>
        <w:rPr>
          <w:rFonts w:ascii="Malgun Gothic" w:eastAsia="Malgun Gothic" w:hAnsi="Malgun Gothic"/>
          <w:color w:val="000000" w:themeColor="text1"/>
          <w:sz w:val="20"/>
          <w:szCs w:val="20"/>
          <w:lang w:eastAsia="en-AU"/>
        </w:rPr>
      </w:pPr>
      <w:r>
        <w:rPr>
          <w:rFonts w:ascii="Malgun Gothic" w:eastAsia="Malgun Gothic" w:hAnsi="Malgun Gothic"/>
          <w:color w:val="000000" w:themeColor="text1"/>
          <w:sz w:val="20"/>
          <w:szCs w:val="20"/>
          <w:lang w:eastAsia="en-AU"/>
        </w:rPr>
        <w:t>This policy will be posted on the school’s website and available for the public to view. If parents wish to raise any issues or make general inquiries about charges, please contact the principal.</w:t>
      </w:r>
    </w:p>
    <w:p w14:paraId="62B2E508" w14:textId="77777777" w:rsidR="004B70B5" w:rsidRPr="000F68B9" w:rsidRDefault="004B70B5" w:rsidP="004B70B5">
      <w:pPr>
        <w:jc w:val="both"/>
        <w:outlineLvl w:val="1"/>
        <w:rPr>
          <w:rFonts w:ascii="Malgun Gothic" w:eastAsia="Malgun Gothic" w:hAnsi="Malgun Gothic" w:cstheme="majorBidi"/>
          <w:b/>
          <w:caps/>
          <w:color w:val="4472C4" w:themeColor="accent1"/>
          <w:sz w:val="20"/>
          <w:szCs w:val="20"/>
        </w:rPr>
      </w:pPr>
      <w:r w:rsidRPr="000F68B9">
        <w:rPr>
          <w:rFonts w:ascii="Malgun Gothic" w:eastAsia="Malgun Gothic" w:hAnsi="Malgun Gothic" w:cstheme="majorBidi"/>
          <w:b/>
          <w:caps/>
          <w:color w:val="4472C4" w:themeColor="accent1"/>
          <w:sz w:val="20"/>
          <w:szCs w:val="20"/>
        </w:rPr>
        <w:t>Further information and resources</w:t>
      </w:r>
    </w:p>
    <w:p w14:paraId="43FE32F3" w14:textId="47C7D4E4" w:rsidR="004B70B5" w:rsidRDefault="007C73C1" w:rsidP="004B70B5">
      <w:pPr>
        <w:pStyle w:val="ListParagraph"/>
        <w:numPr>
          <w:ilvl w:val="0"/>
          <w:numId w:val="40"/>
        </w:numPr>
        <w:jc w:val="both"/>
        <w:rPr>
          <w:rStyle w:val="Hyperlink"/>
          <w:rFonts w:ascii="Malgun Gothic" w:eastAsia="Malgun Gothic" w:hAnsi="Malgun Gothic"/>
          <w:color w:val="auto"/>
          <w:sz w:val="20"/>
          <w:szCs w:val="20"/>
          <w:u w:val="none"/>
          <w:lang w:eastAsia="en-AU"/>
        </w:rPr>
      </w:pPr>
      <w:r>
        <w:rPr>
          <w:rStyle w:val="Hyperlink"/>
          <w:rFonts w:ascii="Malgun Gothic" w:eastAsia="Malgun Gothic" w:hAnsi="Malgun Gothic"/>
          <w:color w:val="auto"/>
          <w:sz w:val="20"/>
          <w:szCs w:val="20"/>
          <w:u w:val="none"/>
          <w:lang w:eastAsia="en-AU"/>
        </w:rPr>
        <w:t>Understanding Parent Payment Categories (Appendix)</w:t>
      </w:r>
    </w:p>
    <w:p w14:paraId="0F127F6B" w14:textId="7A0B24D9" w:rsidR="004B70B5" w:rsidRPr="004B70B5" w:rsidRDefault="004B70B5" w:rsidP="004B70B5">
      <w:pPr>
        <w:pStyle w:val="ListParagraph"/>
        <w:numPr>
          <w:ilvl w:val="0"/>
          <w:numId w:val="40"/>
        </w:numPr>
        <w:jc w:val="both"/>
        <w:rPr>
          <w:rFonts w:ascii="Malgun Gothic" w:eastAsia="Malgun Gothic" w:hAnsi="Malgun Gothic"/>
          <w:sz w:val="20"/>
          <w:szCs w:val="20"/>
          <w:lang w:eastAsia="en-AU"/>
        </w:rPr>
      </w:pPr>
      <w:r>
        <w:rPr>
          <w:rStyle w:val="Hyperlink"/>
          <w:rFonts w:ascii="Malgun Gothic" w:eastAsia="Malgun Gothic" w:hAnsi="Malgun Gothic"/>
          <w:color w:val="auto"/>
          <w:sz w:val="20"/>
          <w:szCs w:val="20"/>
          <w:u w:val="none"/>
          <w:lang w:eastAsia="en-AU"/>
        </w:rPr>
        <w:t>?</w:t>
      </w:r>
    </w:p>
    <w:p w14:paraId="76775487" w14:textId="77777777" w:rsidR="00874588" w:rsidRPr="00874588" w:rsidRDefault="00874588" w:rsidP="00874588">
      <w:pPr>
        <w:jc w:val="both"/>
        <w:outlineLvl w:val="1"/>
        <w:rPr>
          <w:rFonts w:ascii="Malgun Gothic" w:eastAsia="Malgun Gothic" w:hAnsi="Malgun Gothic" w:cstheme="majorBidi"/>
          <w:b/>
          <w:caps/>
          <w:color w:val="4472C4" w:themeColor="accent1"/>
          <w:sz w:val="20"/>
          <w:szCs w:val="20"/>
        </w:rPr>
      </w:pPr>
      <w:r w:rsidRPr="00874588">
        <w:rPr>
          <w:rFonts w:ascii="Malgun Gothic" w:eastAsia="Malgun Gothic" w:hAnsi="Malgun Gothic" w:cstheme="majorBidi"/>
          <w:b/>
          <w:caps/>
          <w:color w:val="4472C4" w:themeColor="accent1"/>
          <w:sz w:val="20"/>
          <w:szCs w:val="20"/>
        </w:rPr>
        <w:t>Review cycle and evaluation</w:t>
      </w:r>
    </w:p>
    <w:p w14:paraId="2F21C76B" w14:textId="5DA18640" w:rsidR="00AC15F8" w:rsidRDefault="000D3F61" w:rsidP="00DD6F8A">
      <w:pPr>
        <w:spacing w:line="22" w:lineRule="atLeast"/>
        <w:jc w:val="both"/>
        <w:rPr>
          <w:rFonts w:ascii="Malgun Gothic" w:eastAsia="Malgun Gothic" w:hAnsi="Malgun Gothic" w:cs="Arial"/>
          <w:sz w:val="20"/>
          <w:szCs w:val="20"/>
        </w:rPr>
      </w:pPr>
      <w:r w:rsidRPr="00DD6F8A">
        <w:rPr>
          <w:rFonts w:ascii="Malgun Gothic" w:eastAsia="Malgun Gothic" w:hAnsi="Malgun Gothic" w:cs="Arial"/>
          <w:sz w:val="20"/>
          <w:szCs w:val="20"/>
        </w:rPr>
        <w:t xml:space="preserve">This policy was last approved by school council on </w:t>
      </w:r>
      <w:r w:rsidR="00933837">
        <w:rPr>
          <w:rFonts w:ascii="Malgun Gothic" w:eastAsia="Malgun Gothic" w:hAnsi="Malgun Gothic" w:cs="Arial"/>
          <w:sz w:val="20"/>
          <w:szCs w:val="20"/>
        </w:rPr>
        <w:t>28</w:t>
      </w:r>
      <w:r w:rsidR="00933837" w:rsidRPr="00933837">
        <w:rPr>
          <w:rFonts w:ascii="Malgun Gothic" w:eastAsia="Malgun Gothic" w:hAnsi="Malgun Gothic" w:cs="Arial"/>
          <w:sz w:val="20"/>
          <w:szCs w:val="20"/>
          <w:vertAlign w:val="superscript"/>
        </w:rPr>
        <w:t>th</w:t>
      </w:r>
      <w:r w:rsidR="00933837">
        <w:rPr>
          <w:rFonts w:ascii="Malgun Gothic" w:eastAsia="Malgun Gothic" w:hAnsi="Malgun Gothic" w:cs="Arial"/>
          <w:sz w:val="20"/>
          <w:szCs w:val="20"/>
        </w:rPr>
        <w:t xml:space="preserve"> June 2018</w:t>
      </w:r>
      <w:r w:rsidRPr="00DD6F8A">
        <w:rPr>
          <w:rFonts w:ascii="Malgun Gothic" w:eastAsia="Malgun Gothic" w:hAnsi="Malgun Gothic" w:cs="Arial"/>
          <w:sz w:val="20"/>
          <w:szCs w:val="20"/>
        </w:rPr>
        <w:t xml:space="preserve"> and is s</w:t>
      </w:r>
      <w:r w:rsidR="00933837">
        <w:rPr>
          <w:rFonts w:ascii="Malgun Gothic" w:eastAsia="Malgun Gothic" w:hAnsi="Malgun Gothic" w:cs="Arial"/>
          <w:sz w:val="20"/>
          <w:szCs w:val="20"/>
        </w:rPr>
        <w:t>cheduled for review in June 2019</w:t>
      </w:r>
      <w:r w:rsidRPr="00DD6F8A">
        <w:rPr>
          <w:rFonts w:ascii="Malgun Gothic" w:eastAsia="Malgun Gothic" w:hAnsi="Malgun Gothic" w:cs="Arial"/>
          <w:sz w:val="20"/>
          <w:szCs w:val="20"/>
        </w:rPr>
        <w:t>.</w:t>
      </w:r>
    </w:p>
    <w:p w14:paraId="7C47CA22" w14:textId="77777777" w:rsidR="002539B3" w:rsidRDefault="002539B3" w:rsidP="00DD6F8A">
      <w:pPr>
        <w:spacing w:line="22" w:lineRule="atLeast"/>
        <w:jc w:val="both"/>
        <w:rPr>
          <w:rFonts w:ascii="Malgun Gothic" w:eastAsia="Malgun Gothic" w:hAnsi="Malgun Gothic" w:cs="Arial"/>
          <w:sz w:val="20"/>
          <w:szCs w:val="20"/>
        </w:rPr>
      </w:pPr>
    </w:p>
    <w:p w14:paraId="69227455" w14:textId="77777777" w:rsidR="002539B3" w:rsidRDefault="002539B3" w:rsidP="00DD6F8A">
      <w:pPr>
        <w:spacing w:line="22" w:lineRule="atLeast"/>
        <w:jc w:val="both"/>
        <w:rPr>
          <w:rFonts w:ascii="Malgun Gothic" w:eastAsia="Malgun Gothic" w:hAnsi="Malgun Gothic" w:cs="Arial"/>
          <w:sz w:val="20"/>
          <w:szCs w:val="20"/>
        </w:rPr>
      </w:pPr>
    </w:p>
    <w:p w14:paraId="6DF33EBE" w14:textId="77777777" w:rsidR="007C73C1" w:rsidRPr="00DD6F8A" w:rsidRDefault="007C73C1" w:rsidP="00DD6F8A">
      <w:pPr>
        <w:spacing w:line="22" w:lineRule="atLeast"/>
        <w:jc w:val="both"/>
        <w:rPr>
          <w:rFonts w:ascii="Malgun Gothic" w:eastAsia="Malgun Gothic" w:hAnsi="Malgun Gothic" w:cs="Arial"/>
          <w:sz w:val="20"/>
          <w:szCs w:val="20"/>
        </w:rPr>
      </w:pPr>
    </w:p>
    <w:sectPr w:rsidR="007C73C1" w:rsidRPr="00DD6F8A" w:rsidSect="00E43B2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11B2" w14:textId="77777777" w:rsidR="005670E5" w:rsidRDefault="005670E5" w:rsidP="00860473">
      <w:r>
        <w:separator/>
      </w:r>
    </w:p>
  </w:endnote>
  <w:endnote w:type="continuationSeparator" w:id="0">
    <w:p w14:paraId="1BFD57F5" w14:textId="77777777" w:rsidR="005670E5" w:rsidRDefault="005670E5" w:rsidP="0086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994A1" w14:textId="77777777" w:rsidR="005670E5" w:rsidRDefault="005670E5" w:rsidP="00860473">
      <w:r>
        <w:separator/>
      </w:r>
    </w:p>
  </w:footnote>
  <w:footnote w:type="continuationSeparator" w:id="0">
    <w:p w14:paraId="3E22C65B" w14:textId="77777777" w:rsidR="005670E5" w:rsidRDefault="005670E5" w:rsidP="0086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578D" w14:textId="74727877" w:rsidR="00860473" w:rsidRDefault="00860473" w:rsidP="00761ECB">
    <w:pPr>
      <w:pStyle w:val="Header"/>
      <w:pBdr>
        <w:bottom w:val="single" w:sz="4" w:space="1" w:color="4472C4" w:themeColor="accent1"/>
      </w:pBdr>
      <w:jc w:val="right"/>
      <w:rPr>
        <w:rFonts w:cstheme="minorHAnsi"/>
        <w:b/>
        <w:color w:val="4472C4" w:themeColor="accent1"/>
      </w:rPr>
    </w:pPr>
    <w:r w:rsidRPr="00860473">
      <w:rPr>
        <w:rFonts w:cstheme="minorHAnsi"/>
        <w:b/>
        <w:color w:val="4472C4" w:themeColor="accent1"/>
      </w:rPr>
      <w:t>Tarnagulla Primary School</w:t>
    </w:r>
    <w:r w:rsidR="00761ECB">
      <w:rPr>
        <w:rFonts w:cstheme="minorHAnsi"/>
        <w:b/>
        <w:color w:val="4472C4" w:themeColor="accent1"/>
      </w:rPr>
      <w:t xml:space="preserve"> </w:t>
    </w:r>
    <w:r w:rsidR="00A514B4">
      <w:rPr>
        <w:rFonts w:cstheme="minorHAnsi"/>
        <w:b/>
        <w:color w:val="4472C4" w:themeColor="accent1"/>
      </w:rPr>
      <w:t>Policy Documents</w:t>
    </w:r>
  </w:p>
  <w:p w14:paraId="2D45B99A" w14:textId="77777777" w:rsidR="00761ECB" w:rsidRPr="00761ECB" w:rsidRDefault="00761ECB" w:rsidP="00761ECB">
    <w:pPr>
      <w:pStyle w:val="Header"/>
      <w:pBdr>
        <w:bottom w:val="single" w:sz="4" w:space="1" w:color="4472C4" w:themeColor="accent1"/>
      </w:pBdr>
      <w:jc w:val="right"/>
      <w:rPr>
        <w:rFonts w:cstheme="minorHAnsi"/>
        <w:b/>
        <w:color w:val="4472C4" w:themeColor="accent1"/>
        <w:sz w:val="10"/>
        <w:szCs w:val="10"/>
      </w:rPr>
    </w:pPr>
  </w:p>
  <w:p w14:paraId="668465B7" w14:textId="77777777" w:rsidR="00761ECB" w:rsidRPr="00860473" w:rsidRDefault="00761ECB" w:rsidP="00761ECB">
    <w:pPr>
      <w:pStyle w:val="Header"/>
      <w:jc w:val="right"/>
      <w:rPr>
        <w:rFonts w:cstheme="minorHAnsi"/>
        <w:b/>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D5F"/>
    <w:multiLevelType w:val="hybridMultilevel"/>
    <w:tmpl w:val="3726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22499C"/>
    <w:multiLevelType w:val="multilevel"/>
    <w:tmpl w:val="48D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05E5B"/>
    <w:multiLevelType w:val="hybridMultilevel"/>
    <w:tmpl w:val="3BC8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D144A"/>
    <w:multiLevelType w:val="hybridMultilevel"/>
    <w:tmpl w:val="05669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D73207"/>
    <w:multiLevelType w:val="multilevel"/>
    <w:tmpl w:val="05DC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244D1"/>
    <w:multiLevelType w:val="hybridMultilevel"/>
    <w:tmpl w:val="AFD2A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3C2DAB"/>
    <w:multiLevelType w:val="hybridMultilevel"/>
    <w:tmpl w:val="61BCC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0A60E31"/>
    <w:multiLevelType w:val="multilevel"/>
    <w:tmpl w:val="2072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EF5940"/>
    <w:multiLevelType w:val="hybridMultilevel"/>
    <w:tmpl w:val="4AB8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51664"/>
    <w:multiLevelType w:val="hybridMultilevel"/>
    <w:tmpl w:val="5254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471230"/>
    <w:multiLevelType w:val="hybridMultilevel"/>
    <w:tmpl w:val="9BA0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750C2F"/>
    <w:multiLevelType w:val="hybridMultilevel"/>
    <w:tmpl w:val="239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CB1B30"/>
    <w:multiLevelType w:val="multilevel"/>
    <w:tmpl w:val="81807B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956D5E"/>
    <w:multiLevelType w:val="hybridMultilevel"/>
    <w:tmpl w:val="DB6A0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E40AAC"/>
    <w:multiLevelType w:val="hybridMultilevel"/>
    <w:tmpl w:val="58B0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134AEC"/>
    <w:multiLevelType w:val="hybridMultilevel"/>
    <w:tmpl w:val="01B2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2432C6"/>
    <w:multiLevelType w:val="hybridMultilevel"/>
    <w:tmpl w:val="1F8E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5D4F1E"/>
    <w:multiLevelType w:val="multilevel"/>
    <w:tmpl w:val="C9C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4"/>
  </w:num>
  <w:num w:numId="4">
    <w:abstractNumId w:val="3"/>
  </w:num>
  <w:num w:numId="5">
    <w:abstractNumId w:val="37"/>
  </w:num>
  <w:num w:numId="6">
    <w:abstractNumId w:val="0"/>
  </w:num>
  <w:num w:numId="7">
    <w:abstractNumId w:val="35"/>
  </w:num>
  <w:num w:numId="8">
    <w:abstractNumId w:val="27"/>
  </w:num>
  <w:num w:numId="9">
    <w:abstractNumId w:val="29"/>
  </w:num>
  <w:num w:numId="10">
    <w:abstractNumId w:val="5"/>
  </w:num>
  <w:num w:numId="11">
    <w:abstractNumId w:val="19"/>
  </w:num>
  <w:num w:numId="12">
    <w:abstractNumId w:val="22"/>
  </w:num>
  <w:num w:numId="13">
    <w:abstractNumId w:val="8"/>
  </w:num>
  <w:num w:numId="14">
    <w:abstractNumId w:val="11"/>
  </w:num>
  <w:num w:numId="15">
    <w:abstractNumId w:val="39"/>
  </w:num>
  <w:num w:numId="16">
    <w:abstractNumId w:val="12"/>
  </w:num>
  <w:num w:numId="17">
    <w:abstractNumId w:val="2"/>
  </w:num>
  <w:num w:numId="18">
    <w:abstractNumId w:val="18"/>
  </w:num>
  <w:num w:numId="19">
    <w:abstractNumId w:val="15"/>
  </w:num>
  <w:num w:numId="20">
    <w:abstractNumId w:val="28"/>
  </w:num>
  <w:num w:numId="21">
    <w:abstractNumId w:val="26"/>
  </w:num>
  <w:num w:numId="22">
    <w:abstractNumId w:val="31"/>
  </w:num>
  <w:num w:numId="23">
    <w:abstractNumId w:val="9"/>
  </w:num>
  <w:num w:numId="24">
    <w:abstractNumId w:val="17"/>
  </w:num>
  <w:num w:numId="25">
    <w:abstractNumId w:val="32"/>
  </w:num>
  <w:num w:numId="26">
    <w:abstractNumId w:val="21"/>
  </w:num>
  <w:num w:numId="27">
    <w:abstractNumId w:val="1"/>
  </w:num>
  <w:num w:numId="28">
    <w:abstractNumId w:val="33"/>
  </w:num>
  <w:num w:numId="29">
    <w:abstractNumId w:val="6"/>
  </w:num>
  <w:num w:numId="30">
    <w:abstractNumId w:val="24"/>
  </w:num>
  <w:num w:numId="31">
    <w:abstractNumId w:val="36"/>
  </w:num>
  <w:num w:numId="32">
    <w:abstractNumId w:val="38"/>
  </w:num>
  <w:num w:numId="33">
    <w:abstractNumId w:val="16"/>
  </w:num>
  <w:num w:numId="34">
    <w:abstractNumId w:val="20"/>
  </w:num>
  <w:num w:numId="35">
    <w:abstractNumId w:val="30"/>
  </w:num>
  <w:num w:numId="36">
    <w:abstractNumId w:val="34"/>
  </w:num>
  <w:num w:numId="37">
    <w:abstractNumId w:val="10"/>
  </w:num>
  <w:num w:numId="38">
    <w:abstractNumId w:val="4"/>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69"/>
    <w:rsid w:val="00050F9C"/>
    <w:rsid w:val="0006065E"/>
    <w:rsid w:val="00083AD2"/>
    <w:rsid w:val="000D3F61"/>
    <w:rsid w:val="001012C9"/>
    <w:rsid w:val="00107796"/>
    <w:rsid w:val="00116A84"/>
    <w:rsid w:val="00116D3D"/>
    <w:rsid w:val="00133A8C"/>
    <w:rsid w:val="00161124"/>
    <w:rsid w:val="00177E80"/>
    <w:rsid w:val="001B38F3"/>
    <w:rsid w:val="001D4E14"/>
    <w:rsid w:val="001F2816"/>
    <w:rsid w:val="00243D62"/>
    <w:rsid w:val="002539B3"/>
    <w:rsid w:val="00286BAA"/>
    <w:rsid w:val="002D40BB"/>
    <w:rsid w:val="00364766"/>
    <w:rsid w:val="003708F1"/>
    <w:rsid w:val="00380B71"/>
    <w:rsid w:val="00392B77"/>
    <w:rsid w:val="003B5B6B"/>
    <w:rsid w:val="003C1E75"/>
    <w:rsid w:val="00425BC7"/>
    <w:rsid w:val="0045144F"/>
    <w:rsid w:val="00480EF7"/>
    <w:rsid w:val="004B70B5"/>
    <w:rsid w:val="004C50A4"/>
    <w:rsid w:val="004C5895"/>
    <w:rsid w:val="00524050"/>
    <w:rsid w:val="005337A4"/>
    <w:rsid w:val="00554E69"/>
    <w:rsid w:val="005670E5"/>
    <w:rsid w:val="00587569"/>
    <w:rsid w:val="0059215B"/>
    <w:rsid w:val="005C0A33"/>
    <w:rsid w:val="005D5A19"/>
    <w:rsid w:val="005F2022"/>
    <w:rsid w:val="005F50AE"/>
    <w:rsid w:val="00600580"/>
    <w:rsid w:val="00694748"/>
    <w:rsid w:val="006B6AA0"/>
    <w:rsid w:val="006B6C54"/>
    <w:rsid w:val="00761ECB"/>
    <w:rsid w:val="007A18D9"/>
    <w:rsid w:val="007C73C1"/>
    <w:rsid w:val="007F64C6"/>
    <w:rsid w:val="00826371"/>
    <w:rsid w:val="00845024"/>
    <w:rsid w:val="00851AC5"/>
    <w:rsid w:val="00854E2F"/>
    <w:rsid w:val="00860473"/>
    <w:rsid w:val="00874588"/>
    <w:rsid w:val="00877DF9"/>
    <w:rsid w:val="008A6BB6"/>
    <w:rsid w:val="008B71FA"/>
    <w:rsid w:val="008D4C25"/>
    <w:rsid w:val="008F1D37"/>
    <w:rsid w:val="008F2200"/>
    <w:rsid w:val="008F504B"/>
    <w:rsid w:val="00933837"/>
    <w:rsid w:val="00952B43"/>
    <w:rsid w:val="00985A96"/>
    <w:rsid w:val="009A7C70"/>
    <w:rsid w:val="009D095F"/>
    <w:rsid w:val="009E19DB"/>
    <w:rsid w:val="009F54AC"/>
    <w:rsid w:val="00A514B4"/>
    <w:rsid w:val="00A62D48"/>
    <w:rsid w:val="00AC09A0"/>
    <w:rsid w:val="00AC15F8"/>
    <w:rsid w:val="00B10346"/>
    <w:rsid w:val="00B21D22"/>
    <w:rsid w:val="00C16905"/>
    <w:rsid w:val="00C30AD0"/>
    <w:rsid w:val="00C43A7C"/>
    <w:rsid w:val="00C50E9D"/>
    <w:rsid w:val="00C525F9"/>
    <w:rsid w:val="00C71356"/>
    <w:rsid w:val="00C842F4"/>
    <w:rsid w:val="00CE4F5E"/>
    <w:rsid w:val="00D32B92"/>
    <w:rsid w:val="00D6684A"/>
    <w:rsid w:val="00DD6F8A"/>
    <w:rsid w:val="00DF0264"/>
    <w:rsid w:val="00E04637"/>
    <w:rsid w:val="00E20B2A"/>
    <w:rsid w:val="00E35DA6"/>
    <w:rsid w:val="00E43B2C"/>
    <w:rsid w:val="00E47E69"/>
    <w:rsid w:val="00F7735B"/>
    <w:rsid w:val="00FB5278"/>
    <w:rsid w:val="00FF5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383A3"/>
  <w15:chartTrackingRefBased/>
  <w15:docId w15:val="{02E6166F-D9BF-6D43-A683-14545B52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BB6"/>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281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7458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56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F2816"/>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8A6BB6"/>
    <w:rPr>
      <w:rFonts w:asciiTheme="majorHAnsi" w:eastAsiaTheme="majorEastAsia" w:hAnsiTheme="majorHAnsi" w:cstheme="majorBidi"/>
      <w:b/>
      <w:color w:val="2F5496" w:themeColor="accent1" w:themeShade="BF"/>
      <w:sz w:val="32"/>
      <w:szCs w:val="32"/>
    </w:rPr>
  </w:style>
  <w:style w:type="paragraph" w:styleId="NoSpacing">
    <w:name w:val="No Spacing"/>
    <w:uiPriority w:val="1"/>
    <w:qFormat/>
    <w:rsid w:val="009E19DB"/>
  </w:style>
  <w:style w:type="paragraph" w:styleId="ListParagraph">
    <w:name w:val="List Paragraph"/>
    <w:basedOn w:val="Normal"/>
    <w:uiPriority w:val="34"/>
    <w:qFormat/>
    <w:rsid w:val="009E19DB"/>
    <w:pPr>
      <w:ind w:left="720"/>
      <w:contextualSpacing/>
    </w:pPr>
  </w:style>
  <w:style w:type="paragraph" w:styleId="Header">
    <w:name w:val="header"/>
    <w:basedOn w:val="Normal"/>
    <w:link w:val="HeaderChar"/>
    <w:uiPriority w:val="99"/>
    <w:unhideWhenUsed/>
    <w:rsid w:val="00860473"/>
    <w:pPr>
      <w:tabs>
        <w:tab w:val="center" w:pos="4513"/>
        <w:tab w:val="right" w:pos="9026"/>
      </w:tabs>
    </w:pPr>
  </w:style>
  <w:style w:type="character" w:customStyle="1" w:styleId="HeaderChar">
    <w:name w:val="Header Char"/>
    <w:basedOn w:val="DefaultParagraphFont"/>
    <w:link w:val="Header"/>
    <w:uiPriority w:val="99"/>
    <w:rsid w:val="00860473"/>
  </w:style>
  <w:style w:type="paragraph" w:styleId="Footer">
    <w:name w:val="footer"/>
    <w:basedOn w:val="Normal"/>
    <w:link w:val="FooterChar"/>
    <w:uiPriority w:val="99"/>
    <w:unhideWhenUsed/>
    <w:rsid w:val="00860473"/>
    <w:pPr>
      <w:tabs>
        <w:tab w:val="center" w:pos="4513"/>
        <w:tab w:val="right" w:pos="9026"/>
      </w:tabs>
    </w:pPr>
  </w:style>
  <w:style w:type="character" w:customStyle="1" w:styleId="FooterChar">
    <w:name w:val="Footer Char"/>
    <w:basedOn w:val="DefaultParagraphFont"/>
    <w:link w:val="Footer"/>
    <w:uiPriority w:val="99"/>
    <w:rsid w:val="00860473"/>
  </w:style>
  <w:style w:type="character" w:customStyle="1" w:styleId="Heading3Char">
    <w:name w:val="Heading 3 Char"/>
    <w:basedOn w:val="DefaultParagraphFont"/>
    <w:link w:val="Heading3"/>
    <w:uiPriority w:val="9"/>
    <w:rsid w:val="0087458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74588"/>
    <w:rPr>
      <w:color w:val="0000FF"/>
      <w:u w:val="single"/>
    </w:rPr>
  </w:style>
  <w:style w:type="table" w:customStyle="1" w:styleId="TableGrid1">
    <w:name w:val="Table Grid1"/>
    <w:basedOn w:val="TableNormal"/>
    <w:next w:val="TableGrid"/>
    <w:uiPriority w:val="39"/>
    <w:rsid w:val="008745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144F"/>
    <w:rPr>
      <w:color w:val="954F72" w:themeColor="followedHyperlink"/>
      <w:u w:val="single"/>
    </w:rPr>
  </w:style>
  <w:style w:type="character" w:styleId="UnresolvedMention">
    <w:name w:val="Unresolved Mention"/>
    <w:basedOn w:val="DefaultParagraphFont"/>
    <w:uiPriority w:val="99"/>
    <w:semiHidden/>
    <w:unhideWhenUsed/>
    <w:rsid w:val="0045144F"/>
    <w:rPr>
      <w:color w:val="605E5C"/>
      <w:shd w:val="clear" w:color="auto" w:fill="E1DFDD"/>
    </w:rPr>
  </w:style>
  <w:style w:type="character" w:styleId="Strong">
    <w:name w:val="Strong"/>
    <w:basedOn w:val="DefaultParagraphFont"/>
    <w:uiPriority w:val="22"/>
    <w:qFormat/>
    <w:rsid w:val="000D3F61"/>
    <w:rPr>
      <w:b/>
      <w:bCs/>
    </w:rPr>
  </w:style>
  <w:style w:type="paragraph" w:customStyle="1" w:styleId="Default">
    <w:name w:val="Default"/>
    <w:rsid w:val="000D3F61"/>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811">
      <w:bodyDiv w:val="1"/>
      <w:marLeft w:val="0"/>
      <w:marRight w:val="0"/>
      <w:marTop w:val="0"/>
      <w:marBottom w:val="0"/>
      <w:divBdr>
        <w:top w:val="none" w:sz="0" w:space="0" w:color="auto"/>
        <w:left w:val="none" w:sz="0" w:space="0" w:color="auto"/>
        <w:bottom w:val="none" w:sz="0" w:space="0" w:color="auto"/>
        <w:right w:val="none" w:sz="0" w:space="0" w:color="auto"/>
      </w:divBdr>
      <w:divsChild>
        <w:div w:id="1143236180">
          <w:marLeft w:val="0"/>
          <w:marRight w:val="0"/>
          <w:marTop w:val="0"/>
          <w:marBottom w:val="0"/>
          <w:divBdr>
            <w:top w:val="none" w:sz="0" w:space="0" w:color="auto"/>
            <w:left w:val="none" w:sz="0" w:space="0" w:color="auto"/>
            <w:bottom w:val="none" w:sz="0" w:space="0" w:color="auto"/>
            <w:right w:val="none" w:sz="0" w:space="0" w:color="auto"/>
          </w:divBdr>
          <w:divsChild>
            <w:div w:id="253363329">
              <w:marLeft w:val="0"/>
              <w:marRight w:val="0"/>
              <w:marTop w:val="0"/>
              <w:marBottom w:val="0"/>
              <w:divBdr>
                <w:top w:val="none" w:sz="0" w:space="0" w:color="auto"/>
                <w:left w:val="none" w:sz="0" w:space="0" w:color="auto"/>
                <w:bottom w:val="none" w:sz="0" w:space="0" w:color="auto"/>
                <w:right w:val="none" w:sz="0" w:space="0" w:color="auto"/>
              </w:divBdr>
              <w:divsChild>
                <w:div w:id="16029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8640">
          <w:marLeft w:val="0"/>
          <w:marRight w:val="0"/>
          <w:marTop w:val="0"/>
          <w:marBottom w:val="0"/>
          <w:divBdr>
            <w:top w:val="none" w:sz="0" w:space="0" w:color="auto"/>
            <w:left w:val="none" w:sz="0" w:space="0" w:color="auto"/>
            <w:bottom w:val="none" w:sz="0" w:space="0" w:color="auto"/>
            <w:right w:val="none" w:sz="0" w:space="0" w:color="auto"/>
          </w:divBdr>
          <w:divsChild>
            <w:div w:id="556286694">
              <w:marLeft w:val="0"/>
              <w:marRight w:val="0"/>
              <w:marTop w:val="0"/>
              <w:marBottom w:val="0"/>
              <w:divBdr>
                <w:top w:val="none" w:sz="0" w:space="0" w:color="auto"/>
                <w:left w:val="none" w:sz="0" w:space="0" w:color="auto"/>
                <w:bottom w:val="none" w:sz="0" w:space="0" w:color="auto"/>
                <w:right w:val="none" w:sz="0" w:space="0" w:color="auto"/>
              </w:divBdr>
              <w:divsChild>
                <w:div w:id="4686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6564">
      <w:bodyDiv w:val="1"/>
      <w:marLeft w:val="0"/>
      <w:marRight w:val="0"/>
      <w:marTop w:val="0"/>
      <w:marBottom w:val="0"/>
      <w:divBdr>
        <w:top w:val="none" w:sz="0" w:space="0" w:color="auto"/>
        <w:left w:val="none" w:sz="0" w:space="0" w:color="auto"/>
        <w:bottom w:val="none" w:sz="0" w:space="0" w:color="auto"/>
        <w:right w:val="none" w:sz="0" w:space="0" w:color="auto"/>
      </w:divBdr>
      <w:divsChild>
        <w:div w:id="473453781">
          <w:marLeft w:val="0"/>
          <w:marRight w:val="0"/>
          <w:marTop w:val="0"/>
          <w:marBottom w:val="0"/>
          <w:divBdr>
            <w:top w:val="none" w:sz="0" w:space="0" w:color="auto"/>
            <w:left w:val="none" w:sz="0" w:space="0" w:color="auto"/>
            <w:bottom w:val="none" w:sz="0" w:space="0" w:color="auto"/>
            <w:right w:val="none" w:sz="0" w:space="0" w:color="auto"/>
          </w:divBdr>
          <w:divsChild>
            <w:div w:id="1562596117">
              <w:marLeft w:val="0"/>
              <w:marRight w:val="0"/>
              <w:marTop w:val="0"/>
              <w:marBottom w:val="0"/>
              <w:divBdr>
                <w:top w:val="none" w:sz="0" w:space="0" w:color="auto"/>
                <w:left w:val="none" w:sz="0" w:space="0" w:color="auto"/>
                <w:bottom w:val="none" w:sz="0" w:space="0" w:color="auto"/>
                <w:right w:val="none" w:sz="0" w:space="0" w:color="auto"/>
              </w:divBdr>
              <w:divsChild>
                <w:div w:id="121929245">
                  <w:marLeft w:val="0"/>
                  <w:marRight w:val="0"/>
                  <w:marTop w:val="0"/>
                  <w:marBottom w:val="0"/>
                  <w:divBdr>
                    <w:top w:val="none" w:sz="0" w:space="0" w:color="auto"/>
                    <w:left w:val="none" w:sz="0" w:space="0" w:color="auto"/>
                    <w:bottom w:val="none" w:sz="0" w:space="0" w:color="auto"/>
                    <w:right w:val="none" w:sz="0" w:space="0" w:color="auto"/>
                  </w:divBdr>
                </w:div>
              </w:divsChild>
            </w:div>
            <w:div w:id="977106350">
              <w:marLeft w:val="0"/>
              <w:marRight w:val="0"/>
              <w:marTop w:val="0"/>
              <w:marBottom w:val="0"/>
              <w:divBdr>
                <w:top w:val="none" w:sz="0" w:space="0" w:color="auto"/>
                <w:left w:val="none" w:sz="0" w:space="0" w:color="auto"/>
                <w:bottom w:val="none" w:sz="0" w:space="0" w:color="auto"/>
                <w:right w:val="none" w:sz="0" w:space="0" w:color="auto"/>
              </w:divBdr>
              <w:divsChild>
                <w:div w:id="1518039119">
                  <w:marLeft w:val="0"/>
                  <w:marRight w:val="0"/>
                  <w:marTop w:val="0"/>
                  <w:marBottom w:val="0"/>
                  <w:divBdr>
                    <w:top w:val="none" w:sz="0" w:space="0" w:color="auto"/>
                    <w:left w:val="none" w:sz="0" w:space="0" w:color="auto"/>
                    <w:bottom w:val="none" w:sz="0" w:space="0" w:color="auto"/>
                    <w:right w:val="none" w:sz="0" w:space="0" w:color="auto"/>
                  </w:divBdr>
                </w:div>
                <w:div w:id="573055130">
                  <w:marLeft w:val="0"/>
                  <w:marRight w:val="0"/>
                  <w:marTop w:val="0"/>
                  <w:marBottom w:val="0"/>
                  <w:divBdr>
                    <w:top w:val="none" w:sz="0" w:space="0" w:color="auto"/>
                    <w:left w:val="none" w:sz="0" w:space="0" w:color="auto"/>
                    <w:bottom w:val="none" w:sz="0" w:space="0" w:color="auto"/>
                    <w:right w:val="none" w:sz="0" w:space="0" w:color="auto"/>
                  </w:divBdr>
                </w:div>
              </w:divsChild>
            </w:div>
            <w:div w:id="1817649818">
              <w:marLeft w:val="0"/>
              <w:marRight w:val="0"/>
              <w:marTop w:val="0"/>
              <w:marBottom w:val="0"/>
              <w:divBdr>
                <w:top w:val="none" w:sz="0" w:space="0" w:color="auto"/>
                <w:left w:val="none" w:sz="0" w:space="0" w:color="auto"/>
                <w:bottom w:val="none" w:sz="0" w:space="0" w:color="auto"/>
                <w:right w:val="none" w:sz="0" w:space="0" w:color="auto"/>
              </w:divBdr>
              <w:divsChild>
                <w:div w:id="1498422403">
                  <w:marLeft w:val="0"/>
                  <w:marRight w:val="0"/>
                  <w:marTop w:val="0"/>
                  <w:marBottom w:val="0"/>
                  <w:divBdr>
                    <w:top w:val="none" w:sz="0" w:space="0" w:color="auto"/>
                    <w:left w:val="none" w:sz="0" w:space="0" w:color="auto"/>
                    <w:bottom w:val="none" w:sz="0" w:space="0" w:color="auto"/>
                    <w:right w:val="none" w:sz="0" w:space="0" w:color="auto"/>
                  </w:divBdr>
                </w:div>
              </w:divsChild>
            </w:div>
            <w:div w:id="1015615713">
              <w:marLeft w:val="0"/>
              <w:marRight w:val="0"/>
              <w:marTop w:val="0"/>
              <w:marBottom w:val="0"/>
              <w:divBdr>
                <w:top w:val="none" w:sz="0" w:space="0" w:color="auto"/>
                <w:left w:val="none" w:sz="0" w:space="0" w:color="auto"/>
                <w:bottom w:val="none" w:sz="0" w:space="0" w:color="auto"/>
                <w:right w:val="none" w:sz="0" w:space="0" w:color="auto"/>
              </w:divBdr>
              <w:divsChild>
                <w:div w:id="3139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5043">
          <w:marLeft w:val="0"/>
          <w:marRight w:val="0"/>
          <w:marTop w:val="0"/>
          <w:marBottom w:val="0"/>
          <w:divBdr>
            <w:top w:val="none" w:sz="0" w:space="0" w:color="auto"/>
            <w:left w:val="none" w:sz="0" w:space="0" w:color="auto"/>
            <w:bottom w:val="none" w:sz="0" w:space="0" w:color="auto"/>
            <w:right w:val="none" w:sz="0" w:space="0" w:color="auto"/>
          </w:divBdr>
          <w:divsChild>
            <w:div w:id="1827241931">
              <w:marLeft w:val="0"/>
              <w:marRight w:val="0"/>
              <w:marTop w:val="0"/>
              <w:marBottom w:val="0"/>
              <w:divBdr>
                <w:top w:val="none" w:sz="0" w:space="0" w:color="auto"/>
                <w:left w:val="none" w:sz="0" w:space="0" w:color="auto"/>
                <w:bottom w:val="none" w:sz="0" w:space="0" w:color="auto"/>
                <w:right w:val="none" w:sz="0" w:space="0" w:color="auto"/>
              </w:divBdr>
              <w:divsChild>
                <w:div w:id="216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cp:revision>
  <cp:lastPrinted>2018-06-01T03:47:00Z</cp:lastPrinted>
  <dcterms:created xsi:type="dcterms:W3CDTF">2018-05-22T23:58:00Z</dcterms:created>
  <dcterms:modified xsi:type="dcterms:W3CDTF">2018-06-28T07:05:00Z</dcterms:modified>
</cp:coreProperties>
</file>